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2F" w:rsidRPr="004E582F" w:rsidRDefault="004E582F" w:rsidP="004E582F">
      <w:pPr>
        <w:spacing w:line="240" w:lineRule="auto"/>
        <w:jc w:val="center"/>
        <w:rPr>
          <w:rFonts w:ascii="Arial" w:eastAsia="Times New Roman" w:hAnsi="Arial" w:cs="Arial"/>
          <w:color w:val="848484"/>
          <w:sz w:val="21"/>
          <w:szCs w:val="21"/>
          <w:lang w:eastAsia="ru-RU"/>
        </w:rPr>
      </w:pPr>
      <w:r w:rsidRPr="004E582F">
        <w:rPr>
          <w:rFonts w:ascii="Arial" w:eastAsia="Times New Roman" w:hAnsi="Arial" w:cs="Arial"/>
          <w:color w:val="848484"/>
          <w:sz w:val="21"/>
          <w:szCs w:val="21"/>
          <w:lang w:eastAsia="ru-RU"/>
        </w:rPr>
        <w:t>Российская Федерация</w:t>
      </w:r>
    </w:p>
    <w:p w:rsidR="004E582F" w:rsidRPr="004E582F" w:rsidRDefault="004E582F" w:rsidP="004E582F">
      <w:pPr>
        <w:pBdr>
          <w:bottom w:val="single" w:sz="6" w:space="23" w:color="A0A0A0"/>
        </w:pBd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  <w:r w:rsidRPr="004E582F"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  <w:t xml:space="preserve">ПИСЬМО </w:t>
      </w:r>
      <w:proofErr w:type="spellStart"/>
      <w:r w:rsidRPr="004E582F"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  <w:t>Минобрнауки</w:t>
      </w:r>
      <w:proofErr w:type="spellEnd"/>
      <w:r w:rsidRPr="004E582F"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  <w:t xml:space="preserve"> РФ от 26.03.2007 N 06-636 "ОБ ОБРАЗОВАТЕЛЬНЫХ УЧРЕЖДЕНИЯХ ДОПОЛНИТЕЛЬНОГО ОБРАЗОВАНИЯ ДЕТЕЙ"</w:t>
      </w:r>
    </w:p>
    <w:p w:rsidR="004E582F" w:rsidRPr="004E582F" w:rsidRDefault="004E582F" w:rsidP="004E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bookmarkStart w:id="0" w:name="_GoBack"/>
      <w:bookmarkEnd w:id="0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В связи с запросами, поступающими в </w:t>
      </w:r>
      <w:proofErr w:type="spell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Минобрнауки</w:t>
      </w:r>
      <w:proofErr w:type="spell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России из </w:t>
      </w:r>
      <w:bookmarkStart w:id="1" w:name="377fd"/>
      <w:bookmarkEnd w:id="1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регионов по исполнению Постановления Правительства РФ </w:t>
      </w:r>
      <w:hyperlink r:id="rId5" w:anchor="024d6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07.12.2006 N 752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 внесении изменений в Типовое положение об образовательном учреждении дополнительного образования детей", Министерство сообщает.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настоящее время необходимо привести уставы </w:t>
      </w:r>
      <w:bookmarkStart w:id="2" w:name="bec25"/>
      <w:bookmarkEnd w:id="2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образовательных учреждений дополнительного образования детей в соответствие с вышеуказанным Постановлением и прежде всего с </w:t>
      </w:r>
      <w:hyperlink r:id="rId6" w:anchor="5388b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пунктом 1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 что будет соответствовать пунктам </w:t>
      </w:r>
      <w:hyperlink r:id="rId7" w:anchor="51094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3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и </w:t>
      </w:r>
      <w:hyperlink r:id="rId8" w:anchor="64301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5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статьи 13 Закона РФ "Об образовании" и </w:t>
      </w:r>
      <w:hyperlink r:id="rId9" w:anchor="ec996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Списку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должностей и учреждений, </w:t>
      </w:r>
      <w:bookmarkStart w:id="3" w:name="745e9"/>
      <w:bookmarkEnd w:id="3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работа в которых засчитывается в стаж работы, дающей право на досрочное назначение трудовой пенсии по старости лицам, осуществляющим педагогическую деятельность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в государственных и муниципальных учреждениях для детей, в соответствии с </w:t>
      </w:r>
      <w:bookmarkStart w:id="4" w:name="bdc1f"/>
      <w:bookmarkEnd w:id="4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подпунктом 10 пункта 1 статьи 28 Федерального закона "О трудовых пенсиях в Российской Федерации",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утвержденному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Постановлением Правительства РФ от 29.10.2002 N 781.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Уставы таких видов образовательных учреждений дополнительного образования детей, как "Клуб", "Детская студия", </w:t>
      </w:r>
      <w:bookmarkStart w:id="5" w:name="c5342"/>
      <w:bookmarkEnd w:id="5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"Детский парк", "Музей", "Детский оздоровительно-образовательный лагерь", необходимо привести в соответствие с пунктом 1 новой редакции Типового положения об образовательном учреждении дополнительного образования детей, сохранив при этом контингент </w:t>
      </w:r>
      <w:bookmarkStart w:id="6" w:name="54e5d"/>
      <w:bookmarkEnd w:id="6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обучающихся, педагогический состав и объем выполняемой работы. Рекомендуем переименовать в установленном порядке виды образовательных учреждений дополнительного образования детей: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- "Клуб" - в "Центр".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частности, "Детско-юношеский клуб </w:t>
      </w:r>
      <w:bookmarkStart w:id="7" w:name="a34c9"/>
      <w:bookmarkEnd w:id="7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физической подготовки" преобразовать в "Детский оздоровительно-образовательный (профильный) центр" или в "Детско-юношескую спортивную школу";</w:t>
      </w:r>
      <w:proofErr w:type="gramEnd"/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"Детская студия" может быть преобразована в "Детскую </w:t>
      </w:r>
      <w:bookmarkStart w:id="8" w:name="97f9f"/>
      <w:bookmarkEnd w:id="8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школу искусств" либо в "Центр эстетического воспитания детей";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"Детский парк" - в "Детский оздоровительно-образовательный (профильный) центр";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"Музей" - в "Центр", например, в "Центр творческого развития и гуманитарного образования";</w:t>
      </w:r>
      <w:bookmarkStart w:id="9" w:name="326d7"/>
      <w:bookmarkEnd w:id="9"/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- "Детский оздоровительно-образовательный лагерь" -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"Детский оздоровительно-образовательный (профильный) центр".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Сохранение и развитие сети образовательных учреждений дополнительного образования детей является важнейшей задачей органов исполнительной власти субъектов РФ всех уровней. Этому </w:t>
      </w:r>
      <w:bookmarkStart w:id="10" w:name="377fd0"/>
      <w:bookmarkEnd w:id="10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вопросу была посвящена коллегия </w:t>
      </w:r>
      <w:proofErr w:type="spell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Минобрнауки</w:t>
      </w:r>
      <w:proofErr w:type="spell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России "О ходе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реализации Межведомственной программы развития системы дополнительного образования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детей" (октябрь 2004 года), где была одобрена Концепция модернизации дополнительного образования детей </w:t>
      </w:r>
      <w:bookmarkStart w:id="11" w:name="377fd1"/>
      <w:bookmarkEnd w:id="11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Российской Федерации до 2010 года. Во исполнение решения коллегии разработана Межведомственная программа развития системы дополнительного образования детей до 2010 года. Данная программа позволит различным ведомствам и организациям на федеральном, </w:t>
      </w:r>
      <w:bookmarkStart w:id="12" w:name="377fd2"/>
      <w:bookmarkEnd w:id="12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региональном и муниципальном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уровнях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обеспечить координацию деятельности в решении проблем воспитания, обучения и развития детей. Разработан и направлен на согласование в Минэкономразвития России проект ведомственной целевой программы "Повышение </w:t>
      </w:r>
      <w:bookmarkStart w:id="13" w:name="377fd3"/>
      <w:bookmarkEnd w:id="13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доступности и качества услуг дополнительного образования детей и совершенствование их социально-адаптирующих функций (2007 - 2009 годы)".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целях выявления и распространения передового педагогического опыта, инновационной деятельности образовательных </w:t>
      </w:r>
      <w:bookmarkStart w:id="14" w:name="377fd4"/>
      <w:bookmarkEnd w:id="14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учреждений дополнительного образования детей, повышения профессионального мастерства и престижа труда педагогических работников на федеральном уровне проводятся системообразующие мероприятия: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Всероссийский конкурс учреждений дополнительного </w:t>
      </w:r>
      <w:bookmarkStart w:id="15" w:name="377fd5"/>
      <w:bookmarkEnd w:id="15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образования детей;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Всероссийский конкурс педагогов дополнительного образования "Сердце отдаю детям";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Всероссийский конкурс авторских образовательных программ дополнительного образования детей;</w:t>
      </w:r>
      <w:bookmarkStart w:id="16" w:name="377fd6"/>
      <w:bookmarkEnd w:id="16"/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- Всероссийский Календарь массовых мероприятий с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обучающимися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.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рамках приоритетного национального проекта "Образование" (ПНПО) с 2006 года предусмотрена государственная поддержка способной и талантливой молодежи в возрасте от 14 до 25 лет по </w:t>
      </w:r>
      <w:bookmarkStart w:id="17" w:name="377fd7"/>
      <w:bookmarkEnd w:id="17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направлениям: школьные олимпиады, социально значимая и общественная деятельность, научно-техническое творчество и учебно-исследовательская деятельность, профессиональное мастерство, художественное творчество и спортивные достижения. В 2006 году более 2 тыс. премий были вручены воспитанникам </w:t>
      </w:r>
      <w:bookmarkStart w:id="18" w:name="377fd8"/>
      <w:bookmarkEnd w:id="18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учреждений дополнительного образования детей.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Одной из актуальных проблем в работе с педагогическими кадрами учреждений дополнительного образования детей является установление тождественности должностей "педагог дополнительного </w:t>
      </w:r>
      <w:bookmarkStart w:id="19" w:name="377fd9"/>
      <w:bookmarkEnd w:id="19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образования" и "руководитель кружка".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Как известно, </w:t>
      </w:r>
      <w:hyperlink r:id="rId10" w:anchor="ec996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Списком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осуществляющим педагогическую деятельность в </w:t>
      </w:r>
      <w:bookmarkStart w:id="20" w:name="bec250"/>
      <w:bookmarkEnd w:id="20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государственных и муниципальных учреждениях для детей, в соответствии с подпунктом 10 пункта 1 статьи 28 Федерального закона "О трудовых пенсиях в Российской Федерации", утвержденным Постановлением Правительства РФ от 29.10.2002 N 781, </w:t>
      </w: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должность </w:t>
      </w:r>
      <w:bookmarkStart w:id="21" w:name="bec251"/>
      <w:bookmarkEnd w:id="21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"руководитель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кружка" в отличие от должности "педагог дополнительного образования" не предусмотрена.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Тождество указанных должностей на федеральном уровне не может быть установлено в связи с тем, что Общероссийским </w:t>
      </w:r>
      <w:hyperlink r:id="rId11" w:anchor="024d6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классификатором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</w:t>
      </w:r>
      <w:bookmarkStart w:id="22" w:name="bec252"/>
      <w:bookmarkEnd w:id="22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профессий рабочих, должностей служащих и тарифных разрядов, утвержденным Постановлением Госстандарта России от 26.12.94 N 367, наряду с должностью "педагог дополнительного образования" сохранено и прежнее название должности "руководитель кружка </w:t>
      </w:r>
      <w:bookmarkStart w:id="23" w:name="bec253"/>
      <w:bookmarkEnd w:id="23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(клуба по интересам, коллектива, любительского объединения, секции, студии, туристской студии)", используемое в других организациях и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учреждениях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.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Вопрос установления тождественности должности "руководитель кружка" внешкольного образовательного учреждения </w:t>
      </w:r>
      <w:bookmarkStart w:id="24" w:name="bec254"/>
      <w:bookmarkEnd w:id="24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должности "педагог дополнительного образования" учреждения дополнительного образования детей может быть решен в судебном порядке на муниципальном и региональном уровнях, как это предусмотрено в Определении Конституционного Суда Российской Федерации </w:t>
      </w:r>
      <w:hyperlink r:id="rId12" w:anchor="024d6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18.06.2004 N 197-О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"Об отказе в принятии к </w:t>
      </w:r>
      <w:bookmarkStart w:id="25" w:name="bec255"/>
      <w:bookmarkEnd w:id="25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рассмотрению жалобы граждан </w:t>
      </w:r>
      <w:proofErr w:type="spell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Путинцевой</w:t>
      </w:r>
      <w:proofErr w:type="spell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Елены Леонидовны и Федоровой Елены Сергеевны на нарушение их конституционных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прав </w:t>
      </w:r>
      <w:proofErr w:type="spell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положениями</w:t>
      </w:r>
      <w:hyperlink r:id="rId13" w:anchor="845c6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пункта</w:t>
        </w:r>
        <w:proofErr w:type="spellEnd"/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 xml:space="preserve"> 3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 статьи 28 Федерального закона "О трудовых пенсиях в Российской Федерации".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 этом следует отметить, что </w:t>
      </w:r>
      <w:bookmarkStart w:id="26" w:name="bec256"/>
      <w:bookmarkEnd w:id="26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отказ Конституционного Суда Российской Федерации в приеме жалобы этих граждан к непосредственному рассмотрению связан с тем, что подобные жалобы подведомственны к рассмотрению судами общей юрисдикции, поэтому Конституционный Суд Российской Федерации в </w:t>
      </w:r>
      <w:bookmarkStart w:id="27" w:name="bec257"/>
      <w:bookmarkEnd w:id="27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указанном выше Определении указал, что применительно к данному случаю тождественность выполняемых функций, условий и характера педагогической деятельности для решения вопроса о праве на зачет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в стаж, необходимый для досрочного назначения трудовой пенсии по </w:t>
      </w:r>
      <w:bookmarkStart w:id="28" w:name="bec258"/>
      <w:bookmarkEnd w:id="28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старости, может быть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установлена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судами общей юрисдикции.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Кроме того, в связи с вопросами, возникшими у судов при применении Федерального закона </w:t>
      </w:r>
      <w:hyperlink r:id="rId14" w:anchor="024d6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17.12.2001 N 173-ФЗ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 трудовых пенсиях в Российской Федерации", вступившего в силу с 1 января </w:t>
      </w:r>
      <w:bookmarkStart w:id="29" w:name="bec259"/>
      <w:bookmarkEnd w:id="29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2002 г. и установившего основания возникновения и порядок реализации права граждан Российской Федерации на трудовые пенсии, Пленум Верховного Суда Российской Федерации в целях обеспечения правильного применения положений названного Закона при разрешении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</w:t>
      </w:r>
      <w:bookmarkStart w:id="30" w:name="745e90"/>
      <w:bookmarkEnd w:id="30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споров, связанных с реализацией гражданами права на трудовые пенсии, дал судам в </w:t>
      </w:r>
      <w:hyperlink r:id="rId15" w:anchor="15d8f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пункте 9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Постановления Пленума Верховного Суда Российской Федерации от 20.12.2005 N 25 "О некоторых вопросах, возникших у судов при рассмотрении дел, связанных с </w:t>
      </w:r>
      <w:bookmarkStart w:id="31" w:name="745e91"/>
      <w:bookmarkEnd w:id="31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реализацией гражданами права на трудовые пенсии" следующие разъяснения: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"В случае несогласия гражданина с отказом пенсионного органа включить в специальный стаж работы, с учетом которого может быть назначена трудовая пенсия по старости ранее достижения </w:t>
      </w:r>
      <w:bookmarkStart w:id="32" w:name="745e92"/>
      <w:bookmarkEnd w:id="32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возраста, установленного </w:t>
      </w:r>
      <w:hyperlink r:id="rId16" w:anchor="12eb9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статьей 7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Федерального закона "О трудовых пенсиях в Российской Федерации" (</w:t>
      </w:r>
      <w:hyperlink r:id="rId17" w:anchor="44ce2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п. 1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ст. 27 и подп. </w:t>
      </w:r>
      <w:hyperlink r:id="rId18" w:anchor="8866e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7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- </w:t>
      </w:r>
      <w:hyperlink r:id="rId19" w:anchor="ac89a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13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п. 1 ст. 28 названного Закона), периода его работы, подлежащего, по мнению истца, зачету в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специальный стаж </w:t>
      </w:r>
      <w:proofErr w:type="spell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работы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</w:t>
      </w:r>
      <w:bookmarkStart w:id="33" w:name="745e93"/>
      <w:bookmarkEnd w:id="33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еобходимо</w:t>
      </w:r>
      <w:proofErr w:type="spell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учитывать, что вопрос о виде (типе) учреждения (организации), тождественности выполняемых истцом функций, условий и характера деятельности тем работам (должностям, профессиям), которые дают право на досрочное назначение трудовой </w:t>
      </w:r>
      <w:bookmarkStart w:id="34" w:name="745e94"/>
      <w:bookmarkEnd w:id="34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пенсии по старости, должен решаться судом исходя из конкретных обстоятельств каждого дела, установленных в судебном заседании (характера и специфики, условий осуществляемой истцом работы, выполняемых им функциональных обязанностей по занимаемым </w:t>
      </w:r>
      <w:bookmarkStart w:id="35" w:name="745e95"/>
      <w:bookmarkEnd w:id="35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должностям и профессиям, нагрузки с учетом целей и задач, а также направлений деятельности учреждений, организаций, в которых он работал, и т.п.)".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Кроме того, законодательными актами определен перечень учреждений дополнительного образования детей, работа в которых </w:t>
      </w:r>
      <w:bookmarkStart w:id="36" w:name="745e96"/>
      <w:bookmarkEnd w:id="36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учитывается при оформлении досрочного назначения трудовой пенсии по старости. </w:t>
      </w:r>
      <w:hyperlink r:id="rId20" w:anchor="ec996" w:history="1">
        <w:proofErr w:type="gramStart"/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Списком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осуществляющим педагогическую </w:t>
      </w:r>
      <w:bookmarkStart w:id="37" w:name="745e97"/>
      <w:bookmarkEnd w:id="37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деятельность в государственных и муниципальных учреждениях для детей, в соответствии с подпунктом 10 пункта 1 статьи 28 Федерального закона "О трудовых пенсиях в Российской Федерации", утвержденным Постановлением Правительства РФ от 29.10.2002 N 781, </w:t>
      </w:r>
      <w:bookmarkStart w:id="38" w:name="745e98"/>
      <w:bookmarkEnd w:id="38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установлен закрытый перечень учреждений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дополнительного образования детей. Инструктивным письмом Министерства общего и профессионального образования Российской Федерации от 24.03.97 N 12 было рекомендовано привести наименования образовательных </w:t>
      </w:r>
      <w:bookmarkStart w:id="39" w:name="745e99"/>
      <w:bookmarkEnd w:id="39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учреждений дополнительного образования детей в соответствие с Перечнем видов образовательных учреждений дополнительного образования детей. В настоящее время необходимо привести нормативные документы муниципальных и государственных учреждений </w:t>
      </w:r>
      <w:bookmarkStart w:id="40" w:name="bdc1f0"/>
      <w:bookmarkEnd w:id="40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дополнительного образования детей в соответствие с действующим законодательством Российской Федерации с </w:t>
      </w:r>
      <w:proofErr w:type="spell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учетом</w:t>
      </w:r>
      <w:hyperlink r:id="rId21" w:anchor="5388b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пункта</w:t>
        </w:r>
        <w:proofErr w:type="spellEnd"/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 xml:space="preserve"> 1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 вышеуказанного Постановления Правительства РФ от 07.12.2006 N 752, в котором перечислены виды образовательных </w:t>
      </w:r>
      <w:proofErr w:type="spell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учреждений</w:t>
      </w:r>
      <w:bookmarkStart w:id="41" w:name="bdc1f1"/>
      <w:bookmarkEnd w:id="41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дополнительного</w:t>
      </w:r>
      <w:proofErr w:type="spell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образования детей.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запросах Министерству часто встречается вопрос о предоставлении платных образовательных услуг учреждениями дополнительного образования детей. В последние годы в Министерство участились жалобы от родителей, детей и педагогов о </w:t>
      </w:r>
      <w:bookmarkStart w:id="42" w:name="bdc1f2"/>
      <w:bookmarkEnd w:id="42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неправомерном введении обязательной платы за оказание образовательных услуг в образовательных учреждениях дополнительного образования детей. Судебными решениями данные действия признавались неправомерными. В соответствии с Законом РФ </w:t>
      </w:r>
      <w:bookmarkStart w:id="43" w:name="bdc1f3"/>
      <w:bookmarkEnd w:id="43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"Об образовании" (</w:t>
      </w:r>
      <w:hyperlink r:id="rId22" w:anchor="88970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п. 1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ст. 45) "Государственное и муниципальное образовательные учреждения вправе оказывать... платные дополнительные образовательные услуги, не предусмотренные соответствующими образовательными программами...". Однако </w:t>
      </w:r>
      <w:bookmarkStart w:id="44" w:name="bdc1f4"/>
      <w:bookmarkEnd w:id="44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"платные образовательные услуги не могут быть оказаны вместо образовательной деятельности, финансируемой за счет средств бюджета" (</w:t>
      </w:r>
      <w:hyperlink r:id="rId23" w:anchor="f81ba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п. 3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ст. 45). В соответствии с Типовым положением об образовательном учреждении дополнительного образования детей, </w:t>
      </w:r>
      <w:bookmarkStart w:id="45" w:name="bdc1f5"/>
      <w:bookmarkEnd w:id="45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утвержденным Постановлением Правительства РФ от 07.03.95 N 233 с последующими изменениями (далее - Положение), реализация дополнительных образовательных программ является основной образовательной деятельностью для данного типа учреждения.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Согласно </w:t>
      </w:r>
      <w:hyperlink r:id="rId24" w:anchor="fde82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пункту 47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Положения "Учреждение может оказывать </w:t>
      </w:r>
      <w:bookmarkStart w:id="46" w:name="bdc1f6"/>
      <w:bookmarkEnd w:id="46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дополнительные платные образовательные услуги, выходящие за рамки финансируемых из бюджета образовательных программ (преподавание специальных курсов и циклов дисциплин, репетиторство, занятия с детьми углубленным изучением предметов и другие услуги), </w:t>
      </w:r>
      <w:proofErr w:type="spell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</w:t>
      </w:r>
      <w:bookmarkStart w:id="47" w:name="bdc1f7"/>
      <w:bookmarkEnd w:id="47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договорам</w:t>
      </w:r>
      <w:proofErr w:type="spell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с учреждениями, предприятиями, </w:t>
      </w: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организациями и физическими лицами", но это не может быть отнесено к реализации основных дополнительных образовательных программ, реализуемых данным типом учреждения.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Правилах оказания платных </w:t>
      </w:r>
      <w:bookmarkStart w:id="48" w:name="bdc1f8"/>
      <w:bookmarkEnd w:id="48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образовательных услуг, утвержденных Постановлением Правительства РФ от 05.07.2001 N 505 "Об утверждении Правил оказания платных образовательных услуг в сфере дошкольного и общего образования", также указано, что "платные образовательные услуги не могут быть </w:t>
      </w:r>
      <w:bookmarkStart w:id="49" w:name="bdc1f9"/>
      <w:bookmarkEnd w:id="49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оказаны муниципальными образовательными учреждениями взамен или в рамках основной образовательной деятельности (в рамках основных образовательных программ), финансируемой за счет средств муниципального бюджета".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Более того, на основании </w:t>
      </w:r>
      <w:hyperlink r:id="rId25" w:anchor="0ced0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пункта 19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</w:t>
      </w:r>
      <w:bookmarkStart w:id="50" w:name="c53420"/>
      <w:bookmarkEnd w:id="50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Правил потребитель может затребовать составление сметы на оказание платных образовательных услуг, предусмотренных договором. В этом случае смета становится частью договора. Составление такой сметы по требованию потребителя обязательно.</w:t>
      </w:r>
      <w:bookmarkStart w:id="51" w:name="c53421"/>
      <w:bookmarkEnd w:id="51"/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соответствии с разграничениями полномочий государственных органов исполнительной власти и местного самоуправления (Федеральные законы </w:t>
      </w:r>
      <w:hyperlink r:id="rId26" w:anchor="024d6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06.10.2003 N 131-ФЗ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"Об общих принципах организации местного самоуправления в Российской </w:t>
      </w:r>
      <w:bookmarkStart w:id="52" w:name="c53422"/>
      <w:bookmarkEnd w:id="52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Федерации" и </w:t>
      </w:r>
      <w:hyperlink r:id="rId27" w:anchor="024d6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06.10.99 N 184-ФЗ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"Об общих принципах организации законодательных (представительных) и исполнительных органов государственной власти субъектов Российской Федерации") в некоторых регионах России были необоснованно ликвидированы или </w:t>
      </w:r>
      <w:bookmarkStart w:id="53" w:name="c53423"/>
      <w:bookmarkEnd w:id="53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реорганизованы отдельные учреждения дополнительного образования детей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 что нарушает права ребенка, его родителей (замещающих лиц), педагогов. Согласно </w:t>
      </w:r>
      <w:hyperlink r:id="rId28" w:anchor="03b83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подпункту 3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пункта 1 статьи 31 Закона РФ "Об образовании" создание, реорганизация и ликвидация муниципальных образовательных учреждений отнесены к полномочиям </w:t>
      </w:r>
      <w:bookmarkStart w:id="54" w:name="c53424"/>
      <w:bookmarkEnd w:id="54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органов местного самоуправления муниципальных районов и городских округов, а создание, реорганизация и ликвидация образовательных учреждений субъектов РФ согласно пункту 7 статьи 29 отнесены к компетенции субъектов РФ. Вместе с тем в соответствии с </w:t>
      </w:r>
      <w:hyperlink r:id="rId29" w:anchor="a5ee9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пунктом 5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</w:t>
      </w:r>
      <w:bookmarkStart w:id="55" w:name="c53425"/>
      <w:bookmarkEnd w:id="55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статьи 30 Закона РФ "Об образовании" федеральные органы исполнительной власти вправе принимать к своему рассмотрению вопросы, отнесенные настоящим Законом к компетенции органов исполнительной власти субъектов РФ и местных органов управления </w:t>
      </w:r>
      <w:bookmarkStart w:id="56" w:name="c53426"/>
      <w:bookmarkEnd w:id="56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образованием, касающиеся обеспечения "защиты прав и свобод граждан".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Главам администраций субъектов РФ было направлено соответствующее письмо Министра образования и науки Российской Федерации А.А. Фурсенко от 19.08.2004 N АФ-705 о необходимости </w:t>
      </w:r>
      <w:bookmarkStart w:id="57" w:name="c53427"/>
      <w:bookmarkEnd w:id="57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сохранения и развития учреждений дополнительного образования детей. Аналогичное письмо в отношении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учреждений дополнительного образования детей сферы культуры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направлено в адрес руководителей субъектов РФ (от 06.06.2006 N АФ-135/06, от 18.05.2006 N </w:t>
      </w:r>
      <w:bookmarkStart w:id="58" w:name="c53428"/>
      <w:bookmarkEnd w:id="58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3171-01-49/05-АБ). В целях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сохранения структуры системы дополнительного образования детей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Федеральным законом </w:t>
      </w:r>
      <w:hyperlink r:id="rId30" w:anchor="024d6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29.12.2004 N 199-ФЗ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в Федеральный закон N 184-ФЗ внесены дополнения о предоставлении дополнительного образования детей в </w:t>
      </w:r>
      <w:bookmarkStart w:id="59" w:name="c53429"/>
      <w:bookmarkEnd w:id="59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учреждениях регионального значения (</w:t>
      </w:r>
      <w:hyperlink r:id="rId31" w:anchor="d2928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подп. 14.1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), что позволяет сохранить государственные учреждения дополнительного образования детей регионального уровня. Кроме того, в соответствии со </w:t>
      </w:r>
      <w:hyperlink r:id="rId32" w:anchor="64301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статьей 13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Федерального закона от 24.07.98 N 124-ФЗ "Об основных </w:t>
      </w:r>
      <w:bookmarkStart w:id="60" w:name="54e5d0"/>
      <w:bookmarkEnd w:id="60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гарантиях прав ребенка в Российской Федерации" имущество, относящееся к объектам социальной инфраструктуры, а также предназначенное для целей образования, воспитания, развития, социальной защиты и социального обслуживания детей, может </w:t>
      </w:r>
      <w:bookmarkStart w:id="61" w:name="54e5d1"/>
      <w:bookmarkEnd w:id="61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использоваться только в данных целях.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Одним из актуальных вопросов в организации работы учреждений дополнительного образования детей является оплата труда педагогов дополнительного образования при переходе на </w:t>
      </w:r>
      <w:proofErr w:type="spell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подушевое</w:t>
      </w:r>
      <w:proofErr w:type="spell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финансирование. В соответствии с </w:t>
      </w:r>
      <w:hyperlink r:id="rId33" w:anchor="2d5c3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подпунктом 10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пункта 2 </w:t>
      </w:r>
      <w:bookmarkStart w:id="62" w:name="54e5d2"/>
      <w:bookmarkEnd w:id="62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статьи 32 Закона РФ "Об образовании" образовательное учреждение самостоятельно в установлении заработной платы работников образовательного учреждения, в том числе надбавок и доплат к должностным окладам, порядка и размеров их премирования. Вместе с </w:t>
      </w:r>
      <w:bookmarkStart w:id="63" w:name="54e5d3"/>
      <w:bookmarkEnd w:id="63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тем </w:t>
      </w:r>
      <w:proofErr w:type="spell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Минобрнауки</w:t>
      </w:r>
      <w:proofErr w:type="spell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России разработало и направило руководителям органов управления образованием субъектов РФ модель </w:t>
      </w:r>
      <w:proofErr w:type="gram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расчета нормативов бюджетного финансирования реализации основных образовательных программ дополнительного образования</w:t>
      </w:r>
      <w:proofErr w:type="gram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детей </w:t>
      </w:r>
      <w:bookmarkStart w:id="64" w:name="54e5d4"/>
      <w:bookmarkEnd w:id="64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(письмо от 19.10.2006 N 06-1616). В соответствии с </w:t>
      </w:r>
      <w:hyperlink r:id="rId34" w:anchor="08be5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пунктом 26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Типового положения об учреждении дополнительного образования детей содержание деятельности объединения определяется педагогом с учетом примерных учебных планов и программ, рекомендованных </w:t>
      </w:r>
      <w:bookmarkStart w:id="65" w:name="54e5d5"/>
      <w:bookmarkEnd w:id="65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государственными органами управления образованием. Департаментом молодежной политики, воспитания и социальной защиты детей </w:t>
      </w:r>
      <w:proofErr w:type="spell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Минобрнауки</w:t>
      </w:r>
      <w:proofErr w:type="spell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России в субъекты РФ направлено письмо </w:t>
      </w:r>
      <w:hyperlink r:id="rId35" w:anchor="024d6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11.12.2006 N 06-1844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 "О примерных требованиях к программам </w:t>
      </w:r>
      <w:proofErr w:type="spell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дополнительного</w:t>
      </w:r>
      <w:bookmarkStart w:id="66" w:name="54e5d6"/>
      <w:bookmarkEnd w:id="66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образования</w:t>
      </w:r>
      <w:proofErr w:type="spell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детей".</w:t>
      </w:r>
    </w:p>
    <w:p w:rsidR="004E582F" w:rsidRPr="004E582F" w:rsidRDefault="004E582F" w:rsidP="004E582F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Продолжительность рабочего времени педагога дополнительного образования. В соответствии с </w:t>
      </w:r>
      <w:hyperlink r:id="rId36" w:anchor="ef611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пунктом 5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статьи 55 Закона РФ "Об образовании" "Для педагогических работников образовательных учреждений устанавливается сокращенная </w:t>
      </w:r>
      <w:bookmarkStart w:id="67" w:name="54e5d7"/>
      <w:bookmarkEnd w:id="67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продолжительность рабочего времени - не более 36 часов в неделю". По вопросу, касающемуся режима рабочего времени и времени отдыха работников образовательных учреждений, применяется Приказ </w:t>
      </w:r>
      <w:proofErr w:type="spellStart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Минобрнауки</w:t>
      </w:r>
      <w:proofErr w:type="spellEnd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России </w:t>
      </w:r>
      <w:hyperlink r:id="rId37" w:anchor="024d6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27.03.2006 N 69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"Об особенностях режима </w:t>
      </w:r>
      <w:bookmarkStart w:id="68" w:name="54e5d8"/>
      <w:bookmarkEnd w:id="68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рабочего времени и времени отдыха педагогических и других работников образовательных учреждений". В соответствии с указанным Приказом нормируемая часть рабочего времени работников, ведущих преподавательскую работу, определяется в астрономических </w:t>
      </w:r>
      <w:bookmarkStart w:id="69" w:name="54e5d9"/>
      <w:bookmarkEnd w:id="69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часах и включает в себя учебные занятия и короткие перерывы. При этом количеству часов установленной учебной нагрузки соответствует количество проводимых учебных занятий продолжительностью, не превышающей 45 минут. Конкретная продолжительность учебных занятий, а также перерывов между ними </w:t>
      </w:r>
      <w:bookmarkStart w:id="70" w:name="a34c90"/>
      <w:bookmarkEnd w:id="70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предусматривается уставом либо локальным актом образовательного учреждения с учетом требований СанПиНа. В Типовом положении об учреждении дополнительного образования детей предел педагогической нагрузки не установлен. В соответствии с </w:t>
      </w:r>
      <w:bookmarkStart w:id="71" w:name="a34c91"/>
      <w:bookmarkEnd w:id="71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подпунктами </w:t>
      </w:r>
      <w:hyperlink r:id="rId38" w:anchor="2d5c3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9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 </w:t>
      </w:r>
      <w:hyperlink r:id="rId39" w:anchor="2d5c3" w:history="1">
        <w:r w:rsidRPr="004E582F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10</w:t>
        </w:r>
      </w:hyperlink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статьи 32 Закона РФ "Об образовании" установление штатного расписания, распределение должностных обязанностей, а также установление заработной платы работников образовательного учреждения, в том числе надбавок и доплат к </w:t>
      </w:r>
      <w:bookmarkStart w:id="72" w:name="a34c92"/>
      <w:bookmarkEnd w:id="72"/>
      <w:r w:rsidRPr="004E582F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должностным окладам, порядка и размеров премирования относится к компетенции образовательного учреждения.</w:t>
      </w:r>
    </w:p>
    <w:p w:rsidR="007950EF" w:rsidRDefault="007950EF"/>
    <w:sectPr w:rsidR="0079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F"/>
    <w:rsid w:val="004E582F"/>
    <w:rsid w:val="0079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zakony/3266-1-ot-2007-10-24-ob-obrazovanii/" TargetMode="External"/><Relationship Id="rId13" Type="http://schemas.openxmlformats.org/officeDocument/2006/relationships/hyperlink" Target="http://www.zakonprost.ru/zakony/173-fz-ot-2006-06-03-o-trudovyh-pensijah/" TargetMode="External"/><Relationship Id="rId18" Type="http://schemas.openxmlformats.org/officeDocument/2006/relationships/hyperlink" Target="http://www.zakonprost.ru/zakony/173-fz-ot-2006-06-03-o-trudovyh-pensijah/" TargetMode="External"/><Relationship Id="rId26" Type="http://schemas.openxmlformats.org/officeDocument/2006/relationships/hyperlink" Target="http://www.zakonprost.ru/zakony/131-fz-ot-2010-07-27-ob-obshhih-principah/" TargetMode="External"/><Relationship Id="rId39" Type="http://schemas.openxmlformats.org/officeDocument/2006/relationships/hyperlink" Target="http://www.zakonprost.ru/zakony/3266-1-ot-2007-10-24-ob-obrazovan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prost.ru/content/base/99308" TargetMode="External"/><Relationship Id="rId34" Type="http://schemas.openxmlformats.org/officeDocument/2006/relationships/hyperlink" Target="http://www.zakonprost.ru/content/base/68774" TargetMode="External"/><Relationship Id="rId7" Type="http://schemas.openxmlformats.org/officeDocument/2006/relationships/hyperlink" Target="http://www.zakonprost.ru/zakony/3266-1-ot-2007-10-24-ob-obrazovanii/" TargetMode="External"/><Relationship Id="rId12" Type="http://schemas.openxmlformats.org/officeDocument/2006/relationships/hyperlink" Target="http://www.zakonprost.ru/content/base/64923" TargetMode="External"/><Relationship Id="rId17" Type="http://schemas.openxmlformats.org/officeDocument/2006/relationships/hyperlink" Target="http://www.zakonprost.ru/zakony/173-fz-ot-2006-06-03-o-trudovyh-pensijah/" TargetMode="External"/><Relationship Id="rId25" Type="http://schemas.openxmlformats.org/officeDocument/2006/relationships/hyperlink" Target="http://www.zakonprost.ru/content/base/87674" TargetMode="External"/><Relationship Id="rId33" Type="http://schemas.openxmlformats.org/officeDocument/2006/relationships/hyperlink" Target="http://www.zakonprost.ru/zakony/3266-1-ot-2007-10-24-ob-obrazovanii/" TargetMode="External"/><Relationship Id="rId38" Type="http://schemas.openxmlformats.org/officeDocument/2006/relationships/hyperlink" Target="http://www.zakonprost.ru/zakony/3266-1-ot-2007-10-24-ob-obrazovani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akonprost.ru/zakony/173-fz-ot-2006-06-03-o-trudovyh-pensijah/" TargetMode="External"/><Relationship Id="rId20" Type="http://schemas.openxmlformats.org/officeDocument/2006/relationships/hyperlink" Target="http://www.zakonprost.ru/content/base/6763" TargetMode="External"/><Relationship Id="rId29" Type="http://schemas.openxmlformats.org/officeDocument/2006/relationships/hyperlink" Target="http://www.zakonprost.ru/zakony/3266-1-ot-2007-10-24-ob-obrazovanii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akonprost.ru/content/base/99308" TargetMode="External"/><Relationship Id="rId11" Type="http://schemas.openxmlformats.org/officeDocument/2006/relationships/hyperlink" Target="http://www.zakonprost.ru/content/base/44489" TargetMode="External"/><Relationship Id="rId24" Type="http://schemas.openxmlformats.org/officeDocument/2006/relationships/hyperlink" Target="http://www.zakonprost.ru/content/base/68774" TargetMode="External"/><Relationship Id="rId32" Type="http://schemas.openxmlformats.org/officeDocument/2006/relationships/hyperlink" Target="http://www.zakonprost.ru/zakony/o-pravah-rebenka/" TargetMode="External"/><Relationship Id="rId37" Type="http://schemas.openxmlformats.org/officeDocument/2006/relationships/hyperlink" Target="http://www.zakonprost.ru/content/base/9498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zakonprost.ru/content/base/99308" TargetMode="External"/><Relationship Id="rId15" Type="http://schemas.openxmlformats.org/officeDocument/2006/relationships/hyperlink" Target="http://www.zakonprost.ru/content/base/86851" TargetMode="External"/><Relationship Id="rId23" Type="http://schemas.openxmlformats.org/officeDocument/2006/relationships/hyperlink" Target="http://www.zakonprost.ru/zakony/3266-1-ot-2007-10-24-ob-obrazovanii/" TargetMode="External"/><Relationship Id="rId28" Type="http://schemas.openxmlformats.org/officeDocument/2006/relationships/hyperlink" Target="http://www.zakonprost.ru/zakony/3266-1-ot-2007-10-24-ob-obrazovanii/" TargetMode="External"/><Relationship Id="rId36" Type="http://schemas.openxmlformats.org/officeDocument/2006/relationships/hyperlink" Target="http://www.zakonprost.ru/zakony/3266-1-ot-2007-10-24-ob-obrazovanii/" TargetMode="External"/><Relationship Id="rId10" Type="http://schemas.openxmlformats.org/officeDocument/2006/relationships/hyperlink" Target="http://www.zakonprost.ru/content/base/6763" TargetMode="External"/><Relationship Id="rId19" Type="http://schemas.openxmlformats.org/officeDocument/2006/relationships/hyperlink" Target="http://www.zakonprost.ru/zakony/173-fz-ot-2006-06-03-o-trudovyh-pensijah/" TargetMode="External"/><Relationship Id="rId31" Type="http://schemas.openxmlformats.org/officeDocument/2006/relationships/hyperlink" Target="http://www.zakonprost.ru/zakony/184-fz-ot-2007-07-21-ob-obshhih-principa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prost.ru/content/base/6763" TargetMode="External"/><Relationship Id="rId14" Type="http://schemas.openxmlformats.org/officeDocument/2006/relationships/hyperlink" Target="http://www.zakonprost.ru/zakony/173-fz-ot-2006-06-03-o-trudovyh-pensijah/" TargetMode="External"/><Relationship Id="rId22" Type="http://schemas.openxmlformats.org/officeDocument/2006/relationships/hyperlink" Target="http://www.zakonprost.ru/zakony/3266-1-ot-2007-10-24-ob-obrazovanii/" TargetMode="External"/><Relationship Id="rId27" Type="http://schemas.openxmlformats.org/officeDocument/2006/relationships/hyperlink" Target="http://www.zakonprost.ru/zakony/184-fz-ot-2007-07-21-ob-obshhih-principah/" TargetMode="External"/><Relationship Id="rId30" Type="http://schemas.openxmlformats.org/officeDocument/2006/relationships/hyperlink" Target="http://www.zakonprost.ru/zakony/199-fz-ot-2009-07-24-o-vnesenii/" TargetMode="External"/><Relationship Id="rId35" Type="http://schemas.openxmlformats.org/officeDocument/2006/relationships/hyperlink" Target="http://www.zakonprost.ru/content/base/103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3136</Words>
  <Characters>17880</Characters>
  <Application>Microsoft Office Word</Application>
  <DocSecurity>0</DocSecurity>
  <Lines>149</Lines>
  <Paragraphs>41</Paragraphs>
  <ScaleCrop>false</ScaleCrop>
  <Company/>
  <LinksUpToDate>false</LinksUpToDate>
  <CharactersWithSpaces>20975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</cp:revision>
  <dcterms:created xsi:type="dcterms:W3CDTF">2014-04-02T11:58:00Z</dcterms:created>
  <dcterms:modified xsi:type="dcterms:W3CDTF">2014-04-02T11:59:00Z</dcterms:modified>
</cp:coreProperties>
</file>